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60" w:before="0" w:after="306"/>
        <w:jc w:val="center"/>
        <w:outlineLvl w:val="0"/>
        <w:rPr/>
      </w:pPr>
      <w:bookmarkStart w:id="0" w:name="__DdeLink__5815_1460325496"/>
      <w:r>
        <w:rPr>
          <w:rFonts w:eastAsia="Times New Roman" w:cs="Times New Roman" w:ascii="Times New Roman" w:hAnsi="Times New Roman"/>
          <w:b/>
          <w:color w:val="333333"/>
          <w:kern w:val="2"/>
          <w:sz w:val="36"/>
          <w:szCs w:val="36"/>
        </w:rPr>
        <w:t>Рекомендации по формированию списков литературы  в рабочих программах дисциплин на 202</w:t>
      </w:r>
      <w:r>
        <w:rPr>
          <w:rFonts w:eastAsia="Times New Roman" w:cs="Times New Roman" w:ascii="Times New Roman" w:hAnsi="Times New Roman"/>
          <w:b/>
          <w:color w:val="333333"/>
          <w:kern w:val="2"/>
          <w:sz w:val="36"/>
          <w:szCs w:val="36"/>
        </w:rPr>
        <w:t>2</w:t>
      </w:r>
      <w:r>
        <w:rPr>
          <w:rFonts w:eastAsia="Times New Roman" w:cs="Times New Roman" w:ascii="Times New Roman" w:hAnsi="Times New Roman"/>
          <w:b/>
          <w:color w:val="333333"/>
          <w:kern w:val="2"/>
          <w:sz w:val="36"/>
          <w:szCs w:val="36"/>
        </w:rPr>
        <w:t>/202</w:t>
      </w:r>
      <w:r>
        <w:rPr>
          <w:rFonts w:eastAsia="Times New Roman" w:cs="Times New Roman" w:ascii="Times New Roman" w:hAnsi="Times New Roman"/>
          <w:b/>
          <w:color w:val="333333"/>
          <w:kern w:val="2"/>
          <w:sz w:val="36"/>
          <w:szCs w:val="36"/>
        </w:rPr>
        <w:t>3</w:t>
      </w:r>
      <w:r>
        <w:rPr>
          <w:rFonts w:eastAsia="Times New Roman" w:cs="Times New Roman" w:ascii="Times New Roman" w:hAnsi="Times New Roman"/>
          <w:b/>
          <w:color w:val="333333"/>
          <w:kern w:val="2"/>
          <w:sz w:val="36"/>
          <w:szCs w:val="36"/>
        </w:rPr>
        <w:t>год</w:t>
      </w:r>
      <w:bookmarkEnd w:id="0"/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Списки основной и дополнительной литературы формируются в соответствии с требованиями и нормативами обеспеченности библиотечно-информационными ресурсами, утвержденными Министерством науки и  высшего образования Российской Федерации и Федеральными государственными стандартами.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В списках основной и дополнительной литературы должны указываться только издания, имеющиеся: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b/>
          <w:sz w:val="28"/>
          <w:szCs w:val="28"/>
        </w:rPr>
        <w:t>в фонде Информационно-библиотечного центра МГЛУ, наличие проверяем в Электронном каталоге по ссылке: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https://www.linguanet.ru/science/informatsionno-bibliotechnyy-tsentr/elektronnyy-katalog/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в Электронной библиотеке МГЛУ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https://www.linguanet.ru/science/informatsionno-bibliotechnyy-tsentr/elektronnaya-biblioteka/</w:t>
        </w:r>
      </w:hyperlink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b/>
          <w:sz w:val="28"/>
          <w:szCs w:val="28"/>
        </w:rPr>
        <w:t>- в Электронно-библиотечных системах,  к которым у Университета имеется  доступ (на основе договоров)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b/>
          <w:sz w:val="28"/>
          <w:szCs w:val="28"/>
        </w:rPr>
        <w:t>В 2020/2021 году это: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Электронно-библиотечная система «Университетская библиотека онлайн»: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https://biblioclub.ru/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(возможна регистрация из дома,  п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осле регистрации ресурс можно использовать из дома);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-Электронно-библиотечная система «Проспект»: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http://ebs.prospekt.org/books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(удаленный доступ по логину и паролю)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Электронная библиотека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  <w:lang w:val="en-US"/>
        </w:rPr>
        <w:t>Elibrary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https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://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elibrary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ru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/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defaultx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asp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(самостоятельная регистрация)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Национальная электронная библиотека (НЭБ):</w:t>
      </w: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 xml:space="preserve">  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http://нэб.рф</w:t>
        </w:r>
      </w:hyperlink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 xml:space="preserve"> –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регистрация и доступ в отделе электронных ресурсов ИБЦ (ауд. 72).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>Периодические издания: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Журналы открытого доступа на портале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E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ibrary (российские и зарубежные): 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https://www.elibrary.ru/projects/subscription/rus_titles_free.asp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Журналы, доступные в электронном виде по подписке на 2021 год (для сотрудников МГЛУ): </w:t>
      </w: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https://elibrary.ru/projects/subscription/rus_titles_open.asp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tLeast" w:line="291" w:before="0" w:after="0"/>
        <w:ind w:left="720" w:hanging="0"/>
        <w:textAlignment w:val="baseline"/>
        <w:rPr/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Зарубежные журналы открытого доступа: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10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https://www.annualreviews.org/page/librarians/librarian-resource-page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11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https://openresearchlibrary.org/home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12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https://scholar.google.com/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13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https://www.intechopen.com/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  <w:lang w:val="en-US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  <w:lang w:val="en-US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highlight w:val="white"/>
        </w:rPr>
      </w:r>
    </w:p>
    <w:p>
      <w:pPr>
        <w:pStyle w:val="ListParagraph"/>
        <w:shd w:val="clear" w:color="auto" w:fill="FFFFFF"/>
        <w:tabs>
          <w:tab w:val="left" w:pos="3309" w:leader="none"/>
        </w:tabs>
        <w:spacing w:lineRule="atLeast" w:line="291" w:before="0" w:after="0"/>
        <w:contextualSpacing/>
        <w:jc w:val="both"/>
        <w:textAlignment w:val="baseline"/>
        <w:rPr/>
      </w:pPr>
      <w:r>
        <w:rPr>
          <w:rFonts w:eastAsia="Times New Roman" w:cs="Times New Roman" w:ascii="globerregular" w:hAnsi="globerregular"/>
          <w:color w:val="333333"/>
          <w:sz w:val="25"/>
          <w:szCs w:val="25"/>
        </w:rPr>
        <w:tab/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Требования к основной литературе</w:t>
      </w:r>
    </w:p>
    <w:p>
      <w:pPr>
        <w:pStyle w:val="Normal"/>
        <w:shd w:val="clear" w:color="auto" w:fill="FFFFFF"/>
        <w:spacing w:lineRule="atLeast" w:line="291" w:before="0" w:after="0"/>
        <w:ind w:firstLine="253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5"/>
          <w:szCs w:val="25"/>
        </w:rPr>
      </w:pPr>
      <w:r>
        <w:rPr>
          <w:rFonts w:eastAsia="Times New Roman" w:cs="Times New Roman" w:ascii="Times New Roman" w:hAnsi="Times New Roman"/>
          <w:b/>
          <w:color w:val="333333"/>
          <w:sz w:val="25"/>
          <w:szCs w:val="25"/>
        </w:rPr>
      </w:r>
    </w:p>
    <w:tbl>
      <w:tblPr>
        <w:tblStyle w:val="a8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  <w:gridCol w:w="7052"/>
      </w:tblGrid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-Учебники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-Учебные пособия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-Монографии (для магистратуры и аспирантуры)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наименований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2-3 наименования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294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 xml:space="preserve">В связи приказом Минобрнауки России от 26.12.2016г. №1651 о признании утратившим силу приказ №1623, в котором говорилось о сроках устареваемости учебной литературы, можно пользоваться изданиями любого года выпуска, </w:t>
            </w: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</w:rPr>
              <w:t>но они должны отражать современное состояние предметной области.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экземпляров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ФГОС 3+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 xml:space="preserve">-не менее 50 экземпляров каждого из изданий на каждые 100 обучающихся (1 издание на 2-х. 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обучающихся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)*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ФГОС 3++</w:t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-не менее 25 экземпляров каждого из изданий на каждые 100 обучающихся (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1 издание на 4-х обучающихся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)*</w:t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*при учете печатных изданий из фонда ИБЦ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</w:r>
          </w:p>
        </w:tc>
      </w:tr>
    </w:tbl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5"/>
          <w:szCs w:val="25"/>
        </w:rPr>
      </w:pPr>
      <w:r>
        <w:rPr>
          <w:rFonts w:eastAsia="Times New Roman" w:cs="Times New Roman" w:ascii="Times New Roman" w:hAnsi="Times New Roman"/>
          <w:color w:val="333333"/>
          <w:sz w:val="25"/>
          <w:szCs w:val="25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94" w:before="0" w:after="0"/>
        <w:ind w:left="613" w:hanging="36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для электронных изданий приводится режим доступа (ссылка).</w:t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Требования к Дополнительной литературе</w:t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>
          <w:rFonts w:ascii="globerregular" w:hAnsi="globerregular" w:eastAsia="Times New Roman" w:cs="Times New Roman"/>
          <w:b/>
          <w:b/>
          <w:color w:val="333333"/>
          <w:sz w:val="25"/>
          <w:szCs w:val="25"/>
        </w:rPr>
      </w:pPr>
      <w:r>
        <w:rPr>
          <w:rFonts w:eastAsia="Times New Roman" w:cs="Times New Roman" w:ascii="globerregular" w:hAnsi="globerregular"/>
          <w:b/>
          <w:color w:val="333333"/>
          <w:sz w:val="25"/>
          <w:szCs w:val="25"/>
        </w:rPr>
      </w:r>
    </w:p>
    <w:tbl>
      <w:tblPr>
        <w:tblStyle w:val="a8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globerregular" w:hAnsi="globerregular"/>
                <w:b/>
                <w:color w:val="333333"/>
                <w:sz w:val="25"/>
                <w:szCs w:val="25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учебно-методические пособия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официальная литература (сборники нормативно-правовых документов, законодательных актов и кодексов)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справочно-информационные издания (энциклопедии, справочники, словари и библиографические пособия)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-научная литература (монографии,  сборники научных трудов и т.д.)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-первоисточники (исторические документы и тексты);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иностранные издания;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-конспекты лекций, курсы лекций;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-сборники задач и упражнений, практикумы;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-нормативно-производственные издания(ГОСТ, СНиП и т.п.);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-периодические и продолжающиеся издания.</w:t>
            </w:r>
            <w:r>
              <w:rPr>
                <w:rFonts w:eastAsia="Times New Roman" w:cs="Times New Roman" w:ascii="Times New Roman" w:hAnsi="Times New Roman"/>
                <w:b/>
                <w:color w:val="555555"/>
                <w:sz w:val="25"/>
                <w:szCs w:val="25"/>
              </w:rPr>
              <w:t xml:space="preserve">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наименований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5-10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-без требований к году издания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экземпляров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 xml:space="preserve">-не менее 25 экземпляров каждого из изданий на каждые 100 обучающихся 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1 издание на 4-х обучающихся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)</w:t>
            </w:r>
          </w:p>
        </w:tc>
      </w:tr>
    </w:tbl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globerregular" w:hAnsi="globerregular" w:eastAsia="Times New Roman" w:cs="Times New Roman"/>
          <w:color w:val="333333"/>
          <w:sz w:val="25"/>
          <w:szCs w:val="25"/>
        </w:rPr>
      </w:pPr>
      <w:r>
        <w:rPr>
          <w:rFonts w:eastAsia="Times New Roman" w:cs="Times New Roman" w:ascii="globerregular" w:hAnsi="globerregular"/>
          <w:color w:val="333333"/>
          <w:sz w:val="25"/>
          <w:szCs w:val="25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94" w:before="0" w:after="0"/>
        <w:ind w:left="613" w:hanging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для электронных изданий приводится режим доступа (ссылка).</w:t>
      </w:r>
    </w:p>
    <w:p>
      <w:pPr>
        <w:pStyle w:val="Normal"/>
        <w:shd w:val="clear" w:color="auto" w:fill="FFFFFF"/>
        <w:spacing w:lineRule="atLeast" w:line="294" w:before="0" w:after="0"/>
        <w:ind w:left="613" w:hanging="0"/>
        <w:jc w:val="both"/>
        <w:rPr>
          <w:rFonts w:ascii="Times New Roman" w:hAnsi="Times New Roman"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</w:rPr>
      </w:r>
    </w:p>
    <w:p>
      <w:pPr>
        <w:pStyle w:val="Normal"/>
        <w:tabs>
          <w:tab w:val="left" w:pos="1670" w:leader="none"/>
        </w:tabs>
        <w:spacing w:lineRule="atLeast" w:line="291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ФГОС 3++</w:t>
        <w:tab/>
      </w:r>
    </w:p>
    <w:p>
      <w:pPr>
        <w:pStyle w:val="Normal"/>
        <w:tabs>
          <w:tab w:val="left" w:pos="1670" w:leader="none"/>
        </w:tabs>
        <w:spacing w:lineRule="atLeast" w:line="291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Нет разделения на основную и дополнительную литературу.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5"/>
          <w:szCs w:val="25"/>
        </w:rPr>
        <w:t xml:space="preserve">Количество экземпляров печатных изданий: 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33333"/>
          <w:sz w:val="25"/>
          <w:szCs w:val="25"/>
        </w:rPr>
        <w:t>-не менее 25 экземпляров каждого из изданий на каждые 100 обучающихся (</w:t>
      </w:r>
      <w:r>
        <w:rPr>
          <w:rFonts w:eastAsia="Times New Roman" w:cs="Times New Roman" w:ascii="Times New Roman" w:hAnsi="Times New Roman"/>
          <w:b/>
          <w:color w:val="333333"/>
          <w:sz w:val="25"/>
          <w:szCs w:val="25"/>
        </w:rPr>
        <w:t>1 издание на  4 -х. обучающихся</w:t>
      </w:r>
      <w:r>
        <w:rPr>
          <w:rFonts w:eastAsia="Times New Roman" w:cs="Times New Roman" w:ascii="Times New Roman" w:hAnsi="Times New Roman"/>
          <w:color w:val="333333"/>
          <w:sz w:val="25"/>
          <w:szCs w:val="25"/>
        </w:rPr>
        <w:t>).</w:t>
      </w:r>
    </w:p>
    <w:p>
      <w:pPr>
        <w:pStyle w:val="Normal"/>
        <w:tabs>
          <w:tab w:val="left" w:pos="1670" w:leader="none"/>
        </w:tabs>
        <w:spacing w:lineRule="atLeast" w:line="291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Интернет-ресурсы указываются отдельно.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Справки и консультации по составлению и оформлению библиографического списков можно получить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в Справочно-библиографическом секторе  ИБЦ (Остоженка, 38, 1 этаж), тел.: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8(499) 245-20-96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/>
        <w:t xml:space="preserve"> </w:t>
      </w:r>
    </w:p>
    <w:p>
      <w:pPr>
        <w:pStyle w:val="Normal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loberregular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ListLabel62">
    <w:name w:val="ListLabel 62"/>
    <w:qFormat/>
    <w:rPr>
      <w:rFonts w:ascii="Times New Roman" w:hAnsi="Times New Roman" w:cs="Times New Roman"/>
      <w:sz w:val="28"/>
      <w:szCs w:val="28"/>
    </w:rPr>
  </w:style>
  <w:style w:type="character" w:styleId="ListLabel63">
    <w:name w:val="ListLabel 63"/>
    <w:qFormat/>
    <w:rPr>
      <w:rFonts w:ascii="Times New Roman" w:hAnsi="Times New Roman" w:cs="Times New Roman"/>
      <w:sz w:val="28"/>
      <w:szCs w:val="28"/>
      <w:shd w:fill="FFFFFF" w:val="clear"/>
      <w:lang w:val="en-US"/>
    </w:rPr>
  </w:style>
  <w:style w:type="character" w:styleId="ListLabel65">
    <w:name w:val="ListLabel 65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44">
    <w:name w:val="ListLabel 44"/>
    <w:qFormat/>
    <w:rPr>
      <w:rFonts w:cs="Arial"/>
    </w:rPr>
  </w:style>
  <w:style w:type="character" w:styleId="ListLabel45">
    <w:name w:val="ListLabel 45"/>
    <w:qFormat/>
    <w:rPr>
      <w:rFonts w:cs="Arial"/>
    </w:rPr>
  </w:style>
  <w:style w:type="character" w:styleId="ListLabel46">
    <w:name w:val="ListLabel 46"/>
    <w:qFormat/>
    <w:rPr>
      <w:rFonts w:cs="Arial"/>
    </w:rPr>
  </w:style>
  <w:style w:type="character" w:styleId="ListLabel47">
    <w:name w:val="ListLabel 47"/>
    <w:qFormat/>
    <w:rPr>
      <w:rFonts w:cs="Arial"/>
    </w:rPr>
  </w:style>
  <w:style w:type="character" w:styleId="ListLabel48">
    <w:name w:val="ListLabel 48"/>
    <w:qFormat/>
    <w:rPr>
      <w:rFonts w:cs="Arial"/>
    </w:rPr>
  </w:style>
  <w:style w:type="character" w:styleId="ListLabel49">
    <w:name w:val="ListLabel 49"/>
    <w:qFormat/>
    <w:rPr>
      <w:rFonts w:cs="Arial"/>
    </w:rPr>
  </w:style>
  <w:style w:type="character" w:styleId="ListLabel50">
    <w:name w:val="ListLabel 50"/>
    <w:qFormat/>
    <w:rPr>
      <w:rFonts w:cs="Arial"/>
    </w:rPr>
  </w:style>
  <w:style w:type="character" w:styleId="ListLabel51">
    <w:name w:val="ListLabel 51"/>
    <w:qFormat/>
    <w:rPr>
      <w:rFonts w:cs="Arial"/>
    </w:rPr>
  </w:style>
  <w:style w:type="character" w:styleId="ListLabel52">
    <w:name w:val="ListLabel 52"/>
    <w:qFormat/>
    <w:rPr>
      <w:rFonts w:cs="Arial"/>
    </w:rPr>
  </w:style>
  <w:style w:type="character" w:styleId="ListLabel53">
    <w:name w:val="ListLabel 53"/>
    <w:qFormat/>
    <w:rPr>
      <w:rFonts w:cs="Symbol"/>
      <w:b/>
      <w:sz w:val="28"/>
    </w:rPr>
  </w:style>
  <w:style w:type="character" w:styleId="ListLabel54">
    <w:name w:val="ListLabel 54"/>
    <w:qFormat/>
    <w:rPr>
      <w:rFonts w:cs="Symbol"/>
      <w:sz w:val="20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Symbol"/>
      <w:sz w:val="20"/>
    </w:rPr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Symbol"/>
      <w:sz w:val="20"/>
    </w:rPr>
  </w:style>
  <w:style w:type="character" w:styleId="ListLabel60">
    <w:name w:val="ListLabel 60"/>
    <w:qFormat/>
    <w:rPr>
      <w:rFonts w:cs="Symbol"/>
      <w:sz w:val="20"/>
    </w:rPr>
  </w:style>
  <w:style w:type="character" w:styleId="ListLabel61">
    <w:name w:val="ListLabel 61"/>
    <w:qFormat/>
    <w:rPr>
      <w:rFonts w:cs="Symbol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nguanet.ru/science/informatsionno-bibliotechnyy-tsentr/elektronnyy-katalog/" TargetMode="External"/><Relationship Id="rId3" Type="http://schemas.openxmlformats.org/officeDocument/2006/relationships/hyperlink" Target="https://www.linguanet.ru/science/informatsionno-bibliotechnyy-tsentr/elektronnaya-biblioteka/" TargetMode="External"/><Relationship Id="rId4" Type="http://schemas.openxmlformats.org/officeDocument/2006/relationships/hyperlink" Target="https://biblioclub.ru/" TargetMode="External"/><Relationship Id="rId5" Type="http://schemas.openxmlformats.org/officeDocument/2006/relationships/hyperlink" Target="http://ebs.prospekt.org/books" TargetMode="External"/><Relationship Id="rId6" Type="http://schemas.openxmlformats.org/officeDocument/2006/relationships/hyperlink" Target="https://elibrary.ru/defaultx.asp" TargetMode="External"/><Relationship Id="rId7" Type="http://schemas.openxmlformats.org/officeDocument/2006/relationships/hyperlink" Target="http://xn--90ax2c.xn--p1ai/" TargetMode="External"/><Relationship Id="rId8" Type="http://schemas.openxmlformats.org/officeDocument/2006/relationships/hyperlink" Target="https://www.elibrary.ru/projects/subscription/rus_titles_free.asp" TargetMode="External"/><Relationship Id="rId9" Type="http://schemas.openxmlformats.org/officeDocument/2006/relationships/hyperlink" Target="https://elibrary.ru/projects/subscription/rus_titles_open.asp" TargetMode="External"/><Relationship Id="rId10" Type="http://schemas.openxmlformats.org/officeDocument/2006/relationships/hyperlink" Target="https://www.annualreviews.org/page/librarians/librarian-resource-page" TargetMode="External"/><Relationship Id="rId11" Type="http://schemas.openxmlformats.org/officeDocument/2006/relationships/hyperlink" Target="https://openresearchlibrary.org/home" TargetMode="External"/><Relationship Id="rId12" Type="http://schemas.openxmlformats.org/officeDocument/2006/relationships/hyperlink" Target="https://scholar.google.com/" TargetMode="External"/><Relationship Id="rId13" Type="http://schemas.openxmlformats.org/officeDocument/2006/relationships/hyperlink" Target="https://www.intechopen.com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3</Pages>
  <Words>437</Words>
  <Characters>3592</Characters>
  <CharactersWithSpaces>3985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2022-09-12T12:31:18Z</dcterms:created>
  <dc:creator/>
  <dc:description/>
  <dc:language>ru-RU</dc:language>
  <cp:lastModifiedBy/>
  <dcterms:modified xsi:type="dcterms:W3CDTF">2022-09-12T12:32:59Z</dcterms:modified>
  <cp:revision>1</cp:revision>
  <dc:subject/>
  <dc:title/>
</cp:coreProperties>
</file>