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7A" w:rsidRPr="00084F7A" w:rsidRDefault="00084F7A" w:rsidP="00AE425D">
      <w:pPr>
        <w:spacing w:before="120" w:after="12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84F7A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084F7A" w:rsidRPr="00084F7A" w:rsidRDefault="00084F7A" w:rsidP="00AE425D">
      <w:pPr>
        <w:spacing w:before="120" w:after="12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84F7A">
        <w:rPr>
          <w:rFonts w:ascii="Times New Roman" w:eastAsia="Calibri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084F7A" w:rsidRPr="00084F7A" w:rsidRDefault="00084F7A" w:rsidP="00AE425D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84F7A">
        <w:rPr>
          <w:rFonts w:ascii="Times New Roman" w:eastAsia="Calibri" w:hAnsi="Times New Roman" w:cs="Times New Roman"/>
          <w:b/>
          <w:sz w:val="28"/>
        </w:rPr>
        <w:t>«Московский государственный лингвистический университет»</w:t>
      </w:r>
    </w:p>
    <w:p w:rsidR="00084F7A" w:rsidRPr="00084F7A" w:rsidRDefault="00084F7A" w:rsidP="00AE425D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84F7A">
        <w:rPr>
          <w:rFonts w:ascii="Times New Roman" w:eastAsia="Calibri" w:hAnsi="Times New Roman" w:cs="Times New Roman"/>
          <w:b/>
          <w:sz w:val="28"/>
        </w:rPr>
        <w:t>(ФГБОУ ВО МГЛУ)</w:t>
      </w:r>
    </w:p>
    <w:p w:rsidR="00AE425D" w:rsidRDefault="00AE425D" w:rsidP="00084F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84F7A" w:rsidRPr="00084F7A" w:rsidRDefault="00084F7A" w:rsidP="00084F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84F7A">
        <w:rPr>
          <w:rFonts w:ascii="Times New Roman" w:eastAsia="Calibri" w:hAnsi="Times New Roman" w:cs="Times New Roman"/>
          <w:b/>
          <w:sz w:val="28"/>
        </w:rPr>
        <w:t>Аннотация</w:t>
      </w:r>
    </w:p>
    <w:p w:rsidR="00084F7A" w:rsidRPr="00084F7A" w:rsidRDefault="00084F7A" w:rsidP="00084F7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84F7A">
        <w:rPr>
          <w:rFonts w:ascii="Times New Roman" w:eastAsia="Calibri" w:hAnsi="Times New Roman" w:cs="Times New Roman"/>
          <w:sz w:val="28"/>
        </w:rPr>
        <w:t>к выпускной квалификационной работе</w:t>
      </w:r>
    </w:p>
    <w:p w:rsidR="00084F7A" w:rsidRPr="00084F7A" w:rsidRDefault="00084F7A" w:rsidP="00084F7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Виноградовой Натальи Ивановны</w:t>
      </w:r>
    </w:p>
    <w:p w:rsidR="00084F7A" w:rsidRPr="00084F7A" w:rsidRDefault="00084F7A" w:rsidP="00084F7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84F7A">
        <w:rPr>
          <w:rFonts w:ascii="Times New Roman" w:eastAsia="Calibri" w:hAnsi="Times New Roman" w:cs="Times New Roman"/>
          <w:sz w:val="28"/>
        </w:rPr>
        <w:t>Факультет английского языка</w:t>
      </w:r>
    </w:p>
    <w:p w:rsidR="00084F7A" w:rsidRPr="00084F7A" w:rsidRDefault="00084F7A" w:rsidP="00084F7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84F7A">
        <w:rPr>
          <w:rFonts w:ascii="Times New Roman" w:eastAsia="Calibri" w:hAnsi="Times New Roman" w:cs="Times New Roman"/>
          <w:sz w:val="28"/>
        </w:rPr>
        <w:t xml:space="preserve">Направление подготовки </w:t>
      </w:r>
      <w:r w:rsidR="009911ED">
        <w:rPr>
          <w:rFonts w:ascii="Times New Roman" w:eastAsia="Calibri" w:hAnsi="Times New Roman" w:cs="Times New Roman"/>
          <w:sz w:val="28"/>
        </w:rPr>
        <w:t xml:space="preserve">45.03.02. Лингвистика </w:t>
      </w:r>
      <w:r w:rsidRPr="00084F7A">
        <w:rPr>
          <w:rFonts w:ascii="Times New Roman" w:eastAsia="Calibri" w:hAnsi="Times New Roman" w:cs="Times New Roman"/>
          <w:sz w:val="28"/>
        </w:rPr>
        <w:t>«Теория и методика преподавания иностранных языков и культур»</w:t>
      </w:r>
    </w:p>
    <w:p w:rsidR="00084F7A" w:rsidRPr="00084F7A" w:rsidRDefault="00084F7A" w:rsidP="00084F7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84F7A">
        <w:rPr>
          <w:rFonts w:ascii="Times New Roman" w:eastAsia="Calibri" w:hAnsi="Times New Roman" w:cs="Times New Roman"/>
          <w:sz w:val="28"/>
        </w:rPr>
        <w:t>Группа 0834</w:t>
      </w:r>
    </w:p>
    <w:p w:rsidR="00084F7A" w:rsidRDefault="00084F7A" w:rsidP="00AE425D">
      <w:pPr>
        <w:spacing w:before="240" w:after="24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84F7A">
        <w:rPr>
          <w:rFonts w:ascii="Times New Roman" w:eastAsia="Calibri" w:hAnsi="Times New Roman" w:cs="Times New Roman"/>
          <w:sz w:val="28"/>
        </w:rPr>
        <w:t xml:space="preserve">На тему: </w:t>
      </w:r>
      <w:r>
        <w:rPr>
          <w:rFonts w:ascii="Times New Roman" w:eastAsia="Calibri" w:hAnsi="Times New Roman" w:cs="Times New Roman"/>
          <w:sz w:val="28"/>
        </w:rPr>
        <w:t xml:space="preserve">Функционально-семантические особенности модального глагола </w:t>
      </w:r>
      <w:r w:rsidRPr="00084F7A">
        <w:rPr>
          <w:rFonts w:ascii="Times New Roman" w:eastAsia="Calibri" w:hAnsi="Times New Roman" w:cs="Times New Roman"/>
          <w:b/>
          <w:sz w:val="28"/>
          <w:lang w:val="en-US"/>
        </w:rPr>
        <w:t>CAN</w:t>
      </w:r>
      <w:r w:rsidRPr="00084F7A">
        <w:rPr>
          <w:rFonts w:ascii="Times New Roman" w:eastAsia="Calibri" w:hAnsi="Times New Roman" w:cs="Times New Roman"/>
          <w:sz w:val="28"/>
        </w:rPr>
        <w:t xml:space="preserve"> (</w:t>
      </w:r>
      <w:r w:rsidR="009911ED">
        <w:rPr>
          <w:rFonts w:ascii="Times New Roman" w:eastAsia="Calibri" w:hAnsi="Times New Roman" w:cs="Times New Roman"/>
          <w:sz w:val="28"/>
        </w:rPr>
        <w:t>диахронный аспект)</w:t>
      </w:r>
    </w:p>
    <w:p w:rsidR="00084F7A" w:rsidRDefault="00084F7A" w:rsidP="007F59D2">
      <w:pPr>
        <w:spacing w:after="200" w:line="360" w:lineRule="auto"/>
        <w:rPr>
          <w:rFonts w:ascii="Times New Roman" w:eastAsia="Calibri" w:hAnsi="Times New Roman" w:cs="Times New Roman"/>
          <w:sz w:val="28"/>
          <w:lang w:val="en-US"/>
        </w:rPr>
      </w:pPr>
      <w:r w:rsidRPr="00084F7A">
        <w:rPr>
          <w:rFonts w:ascii="Times New Roman" w:eastAsia="Calibri" w:hAnsi="Times New Roman" w:cs="Times New Roman"/>
          <w:b/>
          <w:sz w:val="28"/>
          <w:lang w:val="en-US"/>
        </w:rPr>
        <w:t>Key words</w:t>
      </w:r>
      <w:r w:rsidR="00BB0DE2">
        <w:rPr>
          <w:rFonts w:ascii="Times New Roman" w:eastAsia="Calibri" w:hAnsi="Times New Roman" w:cs="Times New Roman"/>
          <w:b/>
          <w:sz w:val="28"/>
          <w:lang w:val="en-US"/>
        </w:rPr>
        <w:t xml:space="preserve">: </w:t>
      </w:r>
      <w:r w:rsidR="00BB0DE2" w:rsidRPr="00BB0DE2">
        <w:rPr>
          <w:rFonts w:ascii="Times New Roman" w:eastAsia="Calibri" w:hAnsi="Times New Roman" w:cs="Times New Roman"/>
          <w:sz w:val="28"/>
          <w:lang w:val="en-US"/>
        </w:rPr>
        <w:t xml:space="preserve">modality, </w:t>
      </w:r>
      <w:r w:rsidRPr="00BB0DE2">
        <w:rPr>
          <w:rFonts w:ascii="Times New Roman" w:eastAsia="Calibri" w:hAnsi="Times New Roman" w:cs="Times New Roman"/>
          <w:sz w:val="28"/>
          <w:lang w:val="en-US"/>
        </w:rPr>
        <w:t>deontic, epistemic, dynamic,</w:t>
      </w:r>
      <w:r w:rsidR="00BB0DE2" w:rsidRPr="00BB0DE2">
        <w:rPr>
          <w:rFonts w:ascii="Times New Roman" w:eastAsia="Calibri" w:hAnsi="Times New Roman" w:cs="Times New Roman"/>
          <w:sz w:val="28"/>
          <w:lang w:val="en-US"/>
        </w:rPr>
        <w:t xml:space="preserve"> ability, theoretical possibility, permission, logical possibility, contingent possibility, blended meaning</w:t>
      </w:r>
      <w:r w:rsidR="00BB0DE2">
        <w:rPr>
          <w:rFonts w:ascii="Times New Roman" w:eastAsia="Calibri" w:hAnsi="Times New Roman" w:cs="Times New Roman"/>
          <w:sz w:val="28"/>
          <w:lang w:val="en-US"/>
        </w:rPr>
        <w:t>,</w:t>
      </w:r>
      <w:r w:rsidR="00BB0DE2" w:rsidRPr="00BB0DE2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 w:rsidRPr="00BB0DE2">
        <w:rPr>
          <w:rFonts w:ascii="Times New Roman" w:eastAsia="Calibri" w:hAnsi="Times New Roman" w:cs="Times New Roman"/>
          <w:sz w:val="28"/>
          <w:lang w:val="en-US"/>
        </w:rPr>
        <w:t>grammaticalization</w:t>
      </w:r>
      <w:proofErr w:type="spellEnd"/>
      <w:r w:rsidRPr="00BB0DE2">
        <w:rPr>
          <w:rFonts w:ascii="Times New Roman" w:eastAsia="Calibri" w:hAnsi="Times New Roman" w:cs="Times New Roman"/>
          <w:sz w:val="28"/>
          <w:lang w:val="en-US"/>
        </w:rPr>
        <w:t xml:space="preserve">, </w:t>
      </w:r>
      <w:proofErr w:type="spellStart"/>
      <w:r w:rsidRPr="00BB0DE2">
        <w:rPr>
          <w:rFonts w:ascii="Times New Roman" w:eastAsia="Calibri" w:hAnsi="Times New Roman" w:cs="Times New Roman"/>
          <w:sz w:val="28"/>
          <w:lang w:val="en-US"/>
        </w:rPr>
        <w:t>preterite</w:t>
      </w:r>
      <w:proofErr w:type="spellEnd"/>
      <w:r w:rsidRPr="00BB0DE2">
        <w:rPr>
          <w:rFonts w:ascii="Times New Roman" w:eastAsia="Calibri" w:hAnsi="Times New Roman" w:cs="Times New Roman"/>
          <w:sz w:val="28"/>
          <w:lang w:val="en-US"/>
        </w:rPr>
        <w:t>-present verb</w:t>
      </w:r>
      <w:r w:rsidR="009911ED">
        <w:rPr>
          <w:rFonts w:ascii="Times New Roman" w:eastAsia="Calibri" w:hAnsi="Times New Roman" w:cs="Times New Roman"/>
          <w:sz w:val="28"/>
          <w:lang w:val="en-US"/>
        </w:rPr>
        <w:t>s</w:t>
      </w:r>
      <w:r w:rsidR="00BB0DE2">
        <w:rPr>
          <w:rFonts w:ascii="Times New Roman" w:eastAsia="Calibri" w:hAnsi="Times New Roman" w:cs="Times New Roman"/>
          <w:sz w:val="28"/>
          <w:lang w:val="en-US"/>
        </w:rPr>
        <w:t>.</w:t>
      </w:r>
    </w:p>
    <w:p w:rsidR="00BE1923" w:rsidRDefault="008A19F3" w:rsidP="00D33A2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My graduation paper</w:t>
      </w:r>
      <w:r w:rsidR="00882BEA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="009911ED">
        <w:rPr>
          <w:rFonts w:ascii="Times New Roman" w:eastAsia="Calibri" w:hAnsi="Times New Roman" w:cs="Times New Roman"/>
          <w:sz w:val="28"/>
          <w:lang w:val="en-US"/>
        </w:rPr>
        <w:t xml:space="preserve">“Functional-Semantic Features of the Modal Verb </w:t>
      </w:r>
      <w:r w:rsidR="009911ED" w:rsidRPr="009911ED">
        <w:rPr>
          <w:rFonts w:ascii="Times New Roman" w:eastAsia="Calibri" w:hAnsi="Times New Roman" w:cs="Times New Roman"/>
          <w:i/>
          <w:sz w:val="28"/>
          <w:lang w:val="en-US"/>
        </w:rPr>
        <w:t>Can</w:t>
      </w:r>
      <w:r w:rsidR="009911ED">
        <w:rPr>
          <w:rFonts w:ascii="Times New Roman" w:eastAsia="Calibri" w:hAnsi="Times New Roman" w:cs="Times New Roman"/>
          <w:sz w:val="28"/>
          <w:lang w:val="en-US"/>
        </w:rPr>
        <w:t xml:space="preserve">” </w:t>
      </w:r>
      <w:r w:rsidR="00882BEA">
        <w:rPr>
          <w:rFonts w:ascii="Times New Roman" w:eastAsia="Calibri" w:hAnsi="Times New Roman" w:cs="Times New Roman"/>
          <w:sz w:val="28"/>
          <w:lang w:val="en-US"/>
        </w:rPr>
        <w:t xml:space="preserve">consists of an introduction, </w:t>
      </w:r>
      <w:r>
        <w:rPr>
          <w:rFonts w:ascii="Times New Roman" w:eastAsia="Calibri" w:hAnsi="Times New Roman" w:cs="Times New Roman"/>
          <w:sz w:val="28"/>
          <w:lang w:val="en-US"/>
        </w:rPr>
        <w:t>theoretical</w:t>
      </w:r>
      <w:r w:rsidR="00882BEA">
        <w:rPr>
          <w:rFonts w:ascii="Times New Roman" w:eastAsia="Calibri" w:hAnsi="Times New Roman" w:cs="Times New Roman"/>
          <w:sz w:val="28"/>
          <w:lang w:val="en-US"/>
        </w:rPr>
        <w:t xml:space="preserve"> and practical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part</w:t>
      </w:r>
      <w:r w:rsidR="00882BEA">
        <w:rPr>
          <w:rFonts w:ascii="Times New Roman" w:eastAsia="Calibri" w:hAnsi="Times New Roman" w:cs="Times New Roman"/>
          <w:sz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lang w:val="en-US"/>
        </w:rPr>
        <w:t>,</w:t>
      </w:r>
      <w:r w:rsidR="00882BEA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lang w:val="en-US"/>
        </w:rPr>
        <w:t>conclusions, a bibliography and a list of works of li</w:t>
      </w:r>
      <w:r w:rsidR="00D33A2C">
        <w:rPr>
          <w:rFonts w:ascii="Times New Roman" w:eastAsia="Calibri" w:hAnsi="Times New Roman" w:cs="Times New Roman"/>
          <w:sz w:val="28"/>
          <w:lang w:val="en-US"/>
        </w:rPr>
        <w:t>terature</w:t>
      </w:r>
      <w:r w:rsidR="00BE1923">
        <w:rPr>
          <w:rFonts w:ascii="Times New Roman" w:eastAsia="Calibri" w:hAnsi="Times New Roman" w:cs="Times New Roman"/>
          <w:sz w:val="28"/>
          <w:lang w:val="en-US"/>
        </w:rPr>
        <w:t xml:space="preserve"> subjected to analysis.</w:t>
      </w:r>
    </w:p>
    <w:p w:rsidR="003A6CBA" w:rsidRDefault="00D33A2C" w:rsidP="00D33A2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Though </w:t>
      </w:r>
      <w:r w:rsidR="00BE1923">
        <w:rPr>
          <w:rFonts w:ascii="Times New Roman" w:hAnsi="Times New Roman"/>
          <w:sz w:val="28"/>
          <w:szCs w:val="28"/>
          <w:lang w:val="en-US"/>
        </w:rPr>
        <w:t>being quite a popular topic of research</w:t>
      </w:r>
      <w:r w:rsidR="00882BEA">
        <w:rPr>
          <w:rFonts w:ascii="Times New Roman" w:hAnsi="Times New Roman"/>
          <w:sz w:val="28"/>
          <w:szCs w:val="28"/>
          <w:lang w:val="en-US"/>
        </w:rPr>
        <w:t>,</w:t>
      </w:r>
      <w:r w:rsidR="00BE1923">
        <w:rPr>
          <w:rFonts w:ascii="Times New Roman" w:hAnsi="Times New Roman"/>
          <w:sz w:val="28"/>
          <w:szCs w:val="28"/>
          <w:lang w:val="en-US"/>
        </w:rPr>
        <w:t xml:space="preserve"> English mod</w:t>
      </w:r>
      <w:r w:rsidR="007F59D2">
        <w:rPr>
          <w:rFonts w:ascii="Times New Roman" w:hAnsi="Times New Roman"/>
          <w:sz w:val="28"/>
          <w:szCs w:val="28"/>
          <w:lang w:val="en-US"/>
        </w:rPr>
        <w:t xml:space="preserve">al verbs are still understudied, </w:t>
      </w:r>
      <w:r w:rsidR="00BE1923">
        <w:rPr>
          <w:rFonts w:ascii="Times New Roman" w:hAnsi="Times New Roman"/>
          <w:sz w:val="28"/>
          <w:szCs w:val="28"/>
          <w:lang w:val="en-US"/>
        </w:rPr>
        <w:t>wherea</w:t>
      </w:r>
      <w:r w:rsidR="007F59D2">
        <w:rPr>
          <w:rFonts w:ascii="Times New Roman" w:hAnsi="Times New Roman"/>
          <w:sz w:val="28"/>
          <w:szCs w:val="28"/>
          <w:lang w:val="en-US"/>
        </w:rPr>
        <w:t>s</w:t>
      </w:r>
      <w:r w:rsidR="00BE192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11ED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BE1923">
        <w:rPr>
          <w:rFonts w:ascii="Times New Roman" w:hAnsi="Times New Roman"/>
          <w:sz w:val="28"/>
          <w:szCs w:val="28"/>
          <w:lang w:val="en-US"/>
        </w:rPr>
        <w:t xml:space="preserve">knowledge of </w:t>
      </w:r>
      <w:r w:rsidR="009911ED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BE1923">
        <w:rPr>
          <w:rFonts w:ascii="Times New Roman" w:hAnsi="Times New Roman"/>
          <w:sz w:val="28"/>
          <w:szCs w:val="28"/>
          <w:lang w:val="en-US"/>
        </w:rPr>
        <w:t>sphere they belong to is essential not only for everyday communication</w:t>
      </w:r>
      <w:r w:rsidR="003A6CBA">
        <w:rPr>
          <w:rFonts w:ascii="Times New Roman" w:hAnsi="Times New Roman"/>
          <w:sz w:val="28"/>
          <w:szCs w:val="28"/>
          <w:lang w:val="en-US"/>
        </w:rPr>
        <w:t xml:space="preserve">, but for teaching purposes as well. </w:t>
      </w:r>
      <w:r w:rsidR="00BE192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6CBA">
        <w:rPr>
          <w:rFonts w:ascii="Times New Roman" w:eastAsia="Calibri" w:hAnsi="Times New Roman" w:cs="Times New Roman"/>
          <w:sz w:val="28"/>
          <w:lang w:val="en-US"/>
        </w:rPr>
        <w:t xml:space="preserve"> </w:t>
      </w:r>
    </w:p>
    <w:p w:rsidR="00C86298" w:rsidRDefault="003A6CBA" w:rsidP="00D33A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My graduation paper looks </w:t>
      </w:r>
      <w:r w:rsidR="009911ED">
        <w:rPr>
          <w:rFonts w:ascii="Times New Roman" w:hAnsi="Times New Roman"/>
          <w:sz w:val="28"/>
          <w:szCs w:val="28"/>
          <w:lang w:val="en-US"/>
        </w:rPr>
        <w:t>into</w:t>
      </w:r>
      <w:r>
        <w:rPr>
          <w:rFonts w:ascii="Times New Roman" w:hAnsi="Times New Roman"/>
          <w:sz w:val="28"/>
          <w:szCs w:val="28"/>
          <w:lang w:val="en-US"/>
        </w:rPr>
        <w:t xml:space="preserve"> the development of </w:t>
      </w:r>
      <w:r w:rsidRPr="003A6CBA">
        <w:rPr>
          <w:rFonts w:ascii="Times New Roman" w:hAnsi="Times New Roman"/>
          <w:b/>
          <w:sz w:val="28"/>
          <w:szCs w:val="28"/>
          <w:lang w:val="en-US"/>
        </w:rPr>
        <w:t>can (could)</w:t>
      </w:r>
      <w:r>
        <w:rPr>
          <w:rFonts w:ascii="Times New Roman" w:hAnsi="Times New Roman"/>
          <w:sz w:val="28"/>
          <w:szCs w:val="28"/>
          <w:lang w:val="en-US"/>
        </w:rPr>
        <w:t xml:space="preserve"> into a semi-notional </w:t>
      </w:r>
      <w:r w:rsidR="00882BEA">
        <w:rPr>
          <w:rFonts w:ascii="Times New Roman" w:hAnsi="Times New Roman"/>
          <w:sz w:val="28"/>
          <w:szCs w:val="28"/>
          <w:lang w:val="en-US"/>
        </w:rPr>
        <w:t xml:space="preserve">verb, possessing </w:t>
      </w:r>
      <w:proofErr w:type="gramStart"/>
      <w:r w:rsidR="009911ED">
        <w:rPr>
          <w:rFonts w:ascii="Times New Roman" w:hAnsi="Times New Roman"/>
          <w:sz w:val="28"/>
          <w:szCs w:val="28"/>
          <w:lang w:val="en-US"/>
        </w:rPr>
        <w:t xml:space="preserve">a variety </w:t>
      </w:r>
      <w:r w:rsidR="009911ED">
        <w:rPr>
          <w:rFonts w:ascii="Times New Roman" w:hAnsi="Times New Roman"/>
          <w:sz w:val="28"/>
          <w:szCs w:val="28"/>
          <w:lang w:val="en-US"/>
        </w:rPr>
        <w:t>modal</w:t>
      </w:r>
      <w:r w:rsidR="009911E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meanings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and exhibiting a number of </w:t>
      </w:r>
      <w:r w:rsidR="009911ED">
        <w:rPr>
          <w:rFonts w:ascii="Times New Roman" w:hAnsi="Times New Roman"/>
          <w:sz w:val="28"/>
          <w:szCs w:val="28"/>
          <w:lang w:val="en-US"/>
        </w:rPr>
        <w:t>f</w:t>
      </w:r>
      <w:bookmarkStart w:id="0" w:name="_GoBack"/>
      <w:bookmarkEnd w:id="0"/>
      <w:r w:rsidR="009911ED">
        <w:rPr>
          <w:rFonts w:ascii="Times New Roman" w:hAnsi="Times New Roman"/>
          <w:sz w:val="28"/>
          <w:szCs w:val="28"/>
          <w:lang w:val="en-US"/>
        </w:rPr>
        <w:t>unctional c</w:t>
      </w:r>
      <w:r>
        <w:rPr>
          <w:rFonts w:ascii="Times New Roman" w:hAnsi="Times New Roman"/>
          <w:sz w:val="28"/>
          <w:szCs w:val="28"/>
          <w:lang w:val="en-US"/>
        </w:rPr>
        <w:t xml:space="preserve">haracteristic features. The primary aim of my research is to provide a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historical explanation for </w:t>
      </w:r>
      <w:r w:rsidR="009911ED">
        <w:rPr>
          <w:rFonts w:ascii="Times New Roman" w:hAnsi="Times New Roman"/>
          <w:sz w:val="28"/>
          <w:szCs w:val="28"/>
          <w:lang w:val="en-US"/>
        </w:rPr>
        <w:t>essential properties</w:t>
      </w:r>
      <w:r w:rsidR="00882BEA">
        <w:rPr>
          <w:rFonts w:ascii="Times New Roman" w:hAnsi="Times New Roman"/>
          <w:sz w:val="28"/>
          <w:szCs w:val="28"/>
          <w:lang w:val="en-US"/>
        </w:rPr>
        <w:t xml:space="preserve"> this modal verb displayed between the late 16</w:t>
      </w:r>
      <w:r w:rsidR="00882BEA" w:rsidRPr="00882BEA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882BEA">
        <w:rPr>
          <w:rFonts w:ascii="Times New Roman" w:hAnsi="Times New Roman"/>
          <w:sz w:val="28"/>
          <w:szCs w:val="28"/>
          <w:lang w:val="en-US"/>
        </w:rPr>
        <w:t xml:space="preserve"> and 20</w:t>
      </w:r>
      <w:r w:rsidR="00882BEA" w:rsidRPr="00882BEA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882BEA">
        <w:rPr>
          <w:rFonts w:ascii="Times New Roman" w:hAnsi="Times New Roman"/>
          <w:sz w:val="28"/>
          <w:szCs w:val="28"/>
          <w:lang w:val="en-US"/>
        </w:rPr>
        <w:t xml:space="preserve"> centuries.</w:t>
      </w:r>
    </w:p>
    <w:p w:rsidR="00882BEA" w:rsidRDefault="00882BEA" w:rsidP="00D33A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Using </w:t>
      </w:r>
      <w:r w:rsidR="009911ED">
        <w:rPr>
          <w:rFonts w:ascii="Times New Roman" w:hAnsi="Times New Roman"/>
          <w:sz w:val="28"/>
          <w:szCs w:val="28"/>
          <w:lang w:val="en-US"/>
        </w:rPr>
        <w:t xml:space="preserve">the diachronic, </w:t>
      </w:r>
      <w:r w:rsidRPr="002F0395">
        <w:rPr>
          <w:rFonts w:ascii="Times New Roman" w:hAnsi="Times New Roman"/>
          <w:sz w:val="28"/>
          <w:szCs w:val="28"/>
          <w:lang w:val="en-US"/>
        </w:rPr>
        <w:t>comparative, semantic</w:t>
      </w:r>
      <w:r>
        <w:rPr>
          <w:rFonts w:ascii="Times New Roman" w:hAnsi="Times New Roman"/>
          <w:sz w:val="28"/>
          <w:szCs w:val="28"/>
          <w:lang w:val="en-US"/>
        </w:rPr>
        <w:t>, textual and quantitative methods of linguistic analysis</w:t>
      </w:r>
      <w:r w:rsidR="007F59D2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11ED">
        <w:rPr>
          <w:rFonts w:ascii="Times New Roman" w:hAnsi="Times New Roman"/>
          <w:sz w:val="28"/>
          <w:szCs w:val="28"/>
          <w:lang w:val="en-US"/>
        </w:rPr>
        <w:t>we</w:t>
      </w:r>
      <w:r>
        <w:rPr>
          <w:rFonts w:ascii="Times New Roman" w:hAnsi="Times New Roman"/>
          <w:sz w:val="28"/>
          <w:szCs w:val="28"/>
          <w:lang w:val="en-US"/>
        </w:rPr>
        <w:t xml:space="preserve"> have </w:t>
      </w:r>
      <w:r w:rsidR="009911ED">
        <w:rPr>
          <w:rFonts w:ascii="Times New Roman" w:hAnsi="Times New Roman"/>
          <w:sz w:val="28"/>
          <w:szCs w:val="28"/>
          <w:lang w:val="en-US"/>
        </w:rPr>
        <w:t xml:space="preserve">come a logical </w:t>
      </w:r>
      <w:r>
        <w:rPr>
          <w:rFonts w:ascii="Times New Roman" w:hAnsi="Times New Roman"/>
          <w:sz w:val="28"/>
          <w:szCs w:val="28"/>
          <w:lang w:val="en-US"/>
        </w:rPr>
        <w:t>conclu</w:t>
      </w:r>
      <w:r w:rsidR="009911ED">
        <w:rPr>
          <w:rFonts w:ascii="Times New Roman" w:hAnsi="Times New Roman"/>
          <w:sz w:val="28"/>
          <w:szCs w:val="28"/>
          <w:lang w:val="en-US"/>
        </w:rPr>
        <w:t>sion</w:t>
      </w:r>
      <w:r>
        <w:rPr>
          <w:rFonts w:ascii="Times New Roman" w:hAnsi="Times New Roman"/>
          <w:sz w:val="28"/>
          <w:szCs w:val="28"/>
          <w:lang w:val="en-US"/>
        </w:rPr>
        <w:t xml:space="preserve"> that</w:t>
      </w:r>
      <w:r w:rsidR="0027670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11ED">
        <w:rPr>
          <w:rFonts w:ascii="Times New Roman" w:hAnsi="Times New Roman"/>
          <w:sz w:val="28"/>
          <w:szCs w:val="28"/>
          <w:lang w:val="en-US"/>
        </w:rPr>
        <w:t>in the course of</w:t>
      </w:r>
      <w:r w:rsidR="0027670C">
        <w:rPr>
          <w:rFonts w:ascii="Times New Roman" w:hAnsi="Times New Roman"/>
          <w:sz w:val="28"/>
          <w:szCs w:val="28"/>
          <w:lang w:val="en-US"/>
        </w:rPr>
        <w:t xml:space="preserve"> its evolution </w:t>
      </w:r>
      <w:r w:rsidR="0027670C" w:rsidRPr="0027670C">
        <w:rPr>
          <w:rFonts w:ascii="Times New Roman" w:hAnsi="Times New Roman"/>
          <w:b/>
          <w:sz w:val="28"/>
          <w:szCs w:val="28"/>
          <w:lang w:val="en-US"/>
        </w:rPr>
        <w:t>can (could)</w:t>
      </w:r>
      <w:r w:rsidR="0027670C">
        <w:rPr>
          <w:rFonts w:ascii="Times New Roman" w:hAnsi="Times New Roman"/>
          <w:sz w:val="28"/>
          <w:szCs w:val="28"/>
          <w:lang w:val="en-US"/>
        </w:rPr>
        <w:t xml:space="preserve"> gradually, but not without some</w:t>
      </w:r>
      <w:r w:rsidR="007F59D2">
        <w:rPr>
          <w:rFonts w:ascii="Times New Roman" w:hAnsi="Times New Roman"/>
          <w:sz w:val="28"/>
          <w:szCs w:val="28"/>
          <w:lang w:val="en-US"/>
        </w:rPr>
        <w:t xml:space="preserve"> irregularities, which may be connected to</w:t>
      </w:r>
      <w:r w:rsidR="0027670C">
        <w:rPr>
          <w:rFonts w:ascii="Times New Roman" w:hAnsi="Times New Roman"/>
          <w:sz w:val="28"/>
          <w:szCs w:val="28"/>
          <w:lang w:val="en-US"/>
        </w:rPr>
        <w:t xml:space="preserve"> the instability of the language norm, acquired new meanings, pertaining to different types of modality, sometimes differing in distribution and occupying certain spheres of communication. </w:t>
      </w:r>
    </w:p>
    <w:p w:rsidR="00790471" w:rsidRDefault="007F59D2" w:rsidP="00D33A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="00575500">
        <w:rPr>
          <w:rFonts w:ascii="Times New Roman" w:hAnsi="Times New Roman"/>
          <w:sz w:val="28"/>
          <w:szCs w:val="28"/>
          <w:lang w:val="en-US"/>
        </w:rPr>
        <w:t>esearches cannot agree</w:t>
      </w:r>
      <w:r>
        <w:rPr>
          <w:rFonts w:ascii="Times New Roman" w:hAnsi="Times New Roman"/>
          <w:sz w:val="28"/>
          <w:szCs w:val="28"/>
          <w:lang w:val="en-US"/>
        </w:rPr>
        <w:t xml:space="preserve"> on a number of issues, related to the use of modal verbs</w:t>
      </w:r>
      <w:r w:rsidR="009911ED">
        <w:rPr>
          <w:rFonts w:ascii="Times New Roman" w:hAnsi="Times New Roman"/>
          <w:sz w:val="28"/>
          <w:szCs w:val="28"/>
          <w:lang w:val="en-US"/>
        </w:rPr>
        <w:t xml:space="preserve"> in the English language</w:t>
      </w:r>
      <w:r>
        <w:rPr>
          <w:rFonts w:ascii="Times New Roman" w:hAnsi="Times New Roman"/>
          <w:sz w:val="28"/>
          <w:szCs w:val="28"/>
          <w:lang w:val="en-US"/>
        </w:rPr>
        <w:t xml:space="preserve">. That is why </w:t>
      </w:r>
      <w:r w:rsidR="009911ED">
        <w:rPr>
          <w:rFonts w:ascii="Times New Roman" w:hAnsi="Times New Roman"/>
          <w:sz w:val="28"/>
          <w:szCs w:val="28"/>
          <w:lang w:val="en-US"/>
        </w:rPr>
        <w:t>we believe</w:t>
      </w:r>
      <w:r w:rsidR="00575500">
        <w:rPr>
          <w:rFonts w:ascii="Times New Roman" w:hAnsi="Times New Roman"/>
          <w:sz w:val="28"/>
          <w:szCs w:val="28"/>
          <w:lang w:val="en-US"/>
        </w:rPr>
        <w:t xml:space="preserve"> it is necessary to con</w:t>
      </w:r>
      <w:r>
        <w:rPr>
          <w:rFonts w:ascii="Times New Roman" w:hAnsi="Times New Roman"/>
          <w:sz w:val="28"/>
          <w:szCs w:val="28"/>
          <w:lang w:val="en-US"/>
        </w:rPr>
        <w:t>tinue our studies</w:t>
      </w:r>
      <w:r w:rsidR="00575500">
        <w:rPr>
          <w:rFonts w:ascii="Times New Roman" w:hAnsi="Times New Roman"/>
          <w:sz w:val="28"/>
          <w:szCs w:val="28"/>
          <w:lang w:val="en-US"/>
        </w:rPr>
        <w:t xml:space="preserve"> to </w:t>
      </w:r>
      <w:r w:rsidR="009911ED">
        <w:rPr>
          <w:rFonts w:ascii="Times New Roman" w:hAnsi="Times New Roman"/>
          <w:sz w:val="28"/>
          <w:szCs w:val="28"/>
          <w:lang w:val="en-US"/>
        </w:rPr>
        <w:t>further</w:t>
      </w:r>
      <w:r w:rsidR="00575500">
        <w:rPr>
          <w:rFonts w:ascii="Times New Roman" w:hAnsi="Times New Roman"/>
          <w:sz w:val="28"/>
          <w:szCs w:val="28"/>
          <w:lang w:val="en-US"/>
        </w:rPr>
        <w:t xml:space="preserve"> clarif</w:t>
      </w:r>
      <w:r w:rsidR="009911ED">
        <w:rPr>
          <w:rFonts w:ascii="Times New Roman" w:hAnsi="Times New Roman"/>
          <w:sz w:val="28"/>
          <w:szCs w:val="28"/>
          <w:lang w:val="en-US"/>
        </w:rPr>
        <w:t>y</w:t>
      </w:r>
      <w:r w:rsidR="0057550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11ED">
        <w:rPr>
          <w:rFonts w:ascii="Times New Roman" w:hAnsi="Times New Roman"/>
          <w:sz w:val="28"/>
          <w:szCs w:val="28"/>
          <w:lang w:val="en-US"/>
        </w:rPr>
        <w:t xml:space="preserve">the issue </w:t>
      </w:r>
      <w:r w:rsidR="00575500">
        <w:rPr>
          <w:rFonts w:ascii="Times New Roman" w:hAnsi="Times New Roman"/>
          <w:sz w:val="28"/>
          <w:szCs w:val="28"/>
          <w:lang w:val="en-US"/>
        </w:rPr>
        <w:t>and systematized</w:t>
      </w:r>
      <w:r w:rsidR="009911ED">
        <w:rPr>
          <w:rFonts w:ascii="Times New Roman" w:hAnsi="Times New Roman"/>
          <w:sz w:val="28"/>
          <w:szCs w:val="28"/>
          <w:lang w:val="en-US"/>
        </w:rPr>
        <w:t xml:space="preserve"> our knowledge of modal verb by subjecting them to diachronic analysis</w:t>
      </w:r>
      <w:r w:rsidR="00575500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33A2C" w:rsidRDefault="00D33A2C" w:rsidP="0079047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:rsidR="00790471" w:rsidRDefault="007F59D2" w:rsidP="0079047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7F59D2">
        <w:rPr>
          <w:rFonts w:ascii="Times New Roman" w:eastAsia="Calibri" w:hAnsi="Times New Roman" w:cs="Times New Roman"/>
          <w:sz w:val="28"/>
        </w:rPr>
        <w:t xml:space="preserve">Согласовано: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33A2C" w:rsidTr="00D33A2C">
        <w:tc>
          <w:tcPr>
            <w:tcW w:w="4785" w:type="dxa"/>
          </w:tcPr>
          <w:p w:rsidR="00D33A2C" w:rsidRDefault="00D33A2C" w:rsidP="00D33A2C">
            <w:pPr>
              <w:spacing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Научный руководитель, </w:t>
            </w:r>
          </w:p>
          <w:p w:rsidR="00D33A2C" w:rsidRPr="00D33A2C" w:rsidRDefault="00D33A2C" w:rsidP="00D33A2C">
            <w:pPr>
              <w:spacing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доцент МГЛУ</w:t>
            </w:r>
          </w:p>
        </w:tc>
        <w:tc>
          <w:tcPr>
            <w:tcW w:w="4786" w:type="dxa"/>
          </w:tcPr>
          <w:p w:rsidR="00D33A2C" w:rsidRDefault="00D33A2C" w:rsidP="00D33A2C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Коршунова Е.Н.</w:t>
            </w:r>
          </w:p>
        </w:tc>
      </w:tr>
    </w:tbl>
    <w:p w:rsidR="00882BEA" w:rsidRPr="00790471" w:rsidRDefault="00882BEA" w:rsidP="00D33A2C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82BEA" w:rsidRPr="00790471" w:rsidSect="00AE42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7A"/>
    <w:rsid w:val="00084F7A"/>
    <w:rsid w:val="000B1D76"/>
    <w:rsid w:val="0027670C"/>
    <w:rsid w:val="003A6CBA"/>
    <w:rsid w:val="00575500"/>
    <w:rsid w:val="00790471"/>
    <w:rsid w:val="007F59D2"/>
    <w:rsid w:val="00882BEA"/>
    <w:rsid w:val="008A19F3"/>
    <w:rsid w:val="009911ED"/>
    <w:rsid w:val="00AE425D"/>
    <w:rsid w:val="00BB0DE2"/>
    <w:rsid w:val="00BE1923"/>
    <w:rsid w:val="00C86298"/>
    <w:rsid w:val="00D3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6C9E-8145-41FF-867F-11EC96CE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3</cp:revision>
  <cp:lastPrinted>2016-05-26T23:20:00Z</cp:lastPrinted>
  <dcterms:created xsi:type="dcterms:W3CDTF">2016-05-26T21:34:00Z</dcterms:created>
  <dcterms:modified xsi:type="dcterms:W3CDTF">2016-05-27T19:46:00Z</dcterms:modified>
</cp:coreProperties>
</file>